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现代市场中金融与创新型应用</w:t>
      </w:r>
    </w:p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（</w:t>
      </w:r>
      <w:r>
        <w:rPr>
          <w:rFonts w:ascii="微软雅黑" w:hAnsi="微软雅黑" w:eastAsia="微软雅黑"/>
          <w:sz w:val="28"/>
          <w:szCs w:val="28"/>
        </w:rPr>
        <w:t>Applying Finance and Innovation in Modern Markets</w:t>
      </w:r>
      <w:r>
        <w:rPr>
          <w:rFonts w:hint="eastAsia" w:ascii="微软雅黑" w:hAnsi="微软雅黑" w:eastAsia="微软雅黑"/>
          <w:sz w:val="28"/>
          <w:szCs w:val="28"/>
        </w:rPr>
        <w:t>）</w:t>
      </w:r>
    </w:p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 --哈佛大学商学院教授在线课程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 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关于哈佛及其商学院</w:t>
      </w:r>
    </w:p>
    <w:p>
      <w:pPr>
        <w:spacing w:line="360" w:lineRule="auto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哈佛大学（Harvard University）坐落在美国马萨诸塞州剑桥市，是一所享誉世界的私立研究型大学，是著名的常春藤盟校成员。从这里走出了8位美利坚合众国总统，上百位诺贝尔获得者曾在此工作、学习，其在文学、医学、法学、商学等多个领域拥有崇高的学术地位及广泛的影响力，被公认为是当今世界最顶尖的高等教育机构之一。2019-2020年，哈佛大学位列软科世界大学学术排名世界第一、USNews世界大学排名世界第一、QS世界大学排名世界第三、泰晤士高等教育世界大学排名世界第七、泰晤士高等教育世界大学声誉排名世界第一。</w:t>
      </w:r>
    </w:p>
    <w:p>
      <w:pPr>
        <w:spacing w:line="360" w:lineRule="auto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哈佛商学院（Harvard Business School）是如今美国乃至全世界最大、最富、最有名望，也最具权威的管理</w:t>
      </w:r>
      <w:r>
        <w:rPr>
          <w:rFonts w:hint="eastAsia" w:ascii="微软雅黑" w:hAnsi="微软雅黑" w:eastAsia="微软雅黑"/>
          <w:lang w:eastAsia="zh-CN"/>
        </w:rPr>
        <w:t>学院</w:t>
      </w:r>
      <w:r>
        <w:rPr>
          <w:rFonts w:hint="eastAsia" w:ascii="微软雅黑" w:hAnsi="微软雅黑" w:eastAsia="微软雅黑"/>
        </w:rPr>
        <w:t>。这里是商业人才培育的圣地，被称作商人、主管、总经理的西点军校，美国许多大企业家和政治家都曾在此学习；在美国500家最大公司里担任最高职位的经理中，有1/5毕业于这所学院。</w:t>
      </w:r>
    </w:p>
    <w:p>
      <w:pPr>
        <w:spacing w:line="360" w:lineRule="auto"/>
        <w:rPr>
          <w:rFonts w:ascii="微软雅黑" w:hAnsi="微软雅黑" w:eastAsia="微软雅黑"/>
        </w:rPr>
      </w:pPr>
    </w:p>
    <w:p>
      <w:pPr>
        <w:spacing w:line="360" w:lineRule="auto"/>
        <w:rPr>
          <w:rFonts w:ascii="微软雅黑" w:hAnsi="微软雅黑" w:eastAsia="微软雅黑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172085</wp:posOffset>
                </wp:positionV>
                <wp:extent cx="1324610" cy="1889125"/>
                <wp:effectExtent l="0" t="0" r="889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17820" y="8127365"/>
                          <a:ext cx="1324610" cy="188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071880" cy="1608455"/>
                                  <wp:effectExtent l="0" t="0" r="13970" b="10795"/>
                                  <wp:docPr id="3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1880" cy="160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6pt;margin-top:13.55pt;height:148.75pt;width:104.3pt;z-index:251658240;mso-width-relative:page;mso-height-relative:page;" fillcolor="#FFFFFF [3201]" filled="t" stroked="f" coordsize="21600,21600" o:gfxdata="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OSIhLWAAAACgEAAA8AAAAAAAAAAQAgAAAAIgAAAGRy&#10;cy9kb3ducmV2LnhtbFBLAQIUABQAAAAIAIdO4kDMIL35QAIAAE4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071880" cy="1608455"/>
                            <wp:effectExtent l="0" t="0" r="13970" b="10795"/>
                            <wp:docPr id="3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1880" cy="160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bCs/>
        </w:rPr>
        <w:t>教授简介</w:t>
      </w:r>
    </w:p>
    <w:p>
      <w:pPr>
        <w:spacing w:line="360" w:lineRule="auto"/>
        <w:rPr>
          <w:rFonts w:ascii="微软雅黑" w:hAnsi="微软雅黑" w:eastAsia="微软雅黑"/>
        </w:rPr>
        <w:sectPr>
          <w:pgSz w:w="11900" w:h="16840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劳伦·科恩（Lauren H. Cohen）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哈佛商学院金融与工商管理L.E. Simmons讲席教授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及</w:t>
      </w:r>
      <w:r>
        <w:rPr>
          <w:rFonts w:hint="eastAsia" w:ascii="微软雅黑" w:hAnsi="微软雅黑" w:eastAsia="微软雅黑"/>
        </w:rPr>
        <w:t>家族财富管理高管项目和HarvardX-VPA金融科技项目负责人</w:t>
      </w:r>
    </w:p>
    <w:p>
      <w:pPr>
        <w:spacing w:line="360" w:lineRule="auto"/>
        <w:rPr>
          <w:rFonts w:hint="eastAsia" w:ascii="微软雅黑" w:hAnsi="微软雅黑" w:eastAsia="微软雅黑"/>
        </w:rPr>
        <w:sectPr>
          <w:type w:val="continuous"/>
          <w:pgSz w:w="11900" w:h="16840"/>
          <w:pgMar w:top="1440" w:right="2544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0"/>
        </w:sectPr>
      </w:pPr>
      <w:r>
        <w:rPr>
          <w:rFonts w:hint="eastAsia" w:ascii="微软雅黑" w:hAnsi="微软雅黑" w:eastAsia="微软雅黑"/>
        </w:rPr>
        <w:t>美国国家经济研究局研究员</w:t>
      </w:r>
    </w:p>
    <w:p>
      <w:pPr>
        <w:spacing w:line="360" w:lineRule="auto"/>
        <w:rPr>
          <w:rFonts w:hint="eastAsia" w:ascii="微软雅黑" w:hAnsi="微软雅黑" w:eastAsia="微软雅黑"/>
        </w:rPr>
        <w:sectPr>
          <w:type w:val="continuous"/>
          <w:pgSz w:w="11900" w:h="16840"/>
          <w:pgMar w:top="1440" w:right="2402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0"/>
        </w:sectPr>
      </w:pPr>
    </w:p>
    <w:p>
      <w:pPr>
        <w:spacing w:line="360" w:lineRule="auto"/>
        <w:rPr>
          <w:rFonts w:hint="eastAsia" w:ascii="微软雅黑" w:hAnsi="微软雅黑" w:eastAsia="微软雅黑"/>
        </w:rPr>
        <w:sectPr>
          <w:type w:val="continuous"/>
          <w:pgSz w:w="11900" w:h="16840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ind w:firstLine="42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科恩博士现任《金融研究评论》（Review of Financial Studies）主编、《资产定价研究评论》（Review of Asset Pricing Studies）编委会委员，曾任《管理科学》（Management Science）主编。他在哈佛商学院教授MBA项目、高管项目、博士项目和定制化项目等课程，并担任家族财富管理高管项目和HarvardX-VPA金融科技项目负责人。他连续多年在《金融学期刊》、《金融研究评论》 和《金融经济学期刊》等国际顶级学术期刊上发表一系列高水平论文，并被《华尔街日报》、《纽约时报》、《华盛顿邮报》、《经济学人》和《福布斯》等各大媒体频繁报道。</w:t>
      </w:r>
    </w:p>
    <w:p>
      <w:pPr>
        <w:spacing w:line="360" w:lineRule="auto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科恩博士经常为美国国内外的政府机构提供咨询，包括美国证券交易委员会、美国专利与商标局、在美国国会作证以及为中国和土耳其政府提供咨询。</w:t>
      </w:r>
    </w:p>
    <w:p>
      <w:pPr>
        <w:spacing w:line="360" w:lineRule="auto"/>
        <w:ind w:firstLine="420"/>
        <w:rPr>
          <w:rFonts w:ascii="微软雅黑" w:hAnsi="微软雅黑" w:eastAsia="微软雅黑"/>
        </w:rPr>
      </w:pP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项目亮点</w:t>
      </w:r>
    </w:p>
    <w:p>
      <w:pPr>
        <w:numPr>
          <w:ilvl w:val="0"/>
          <w:numId w:val="1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Cs/>
        </w:rPr>
        <w:t>哈佛商学院资深讲席教授亲自授课</w:t>
      </w:r>
    </w:p>
    <w:p>
      <w:pPr>
        <w:numPr>
          <w:ilvl w:val="0"/>
          <w:numId w:val="1"/>
        </w:num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bCs/>
        </w:rPr>
        <w:t>以</w:t>
      </w:r>
      <w:r>
        <w:rPr>
          <w:rFonts w:hint="eastAsia" w:ascii="微软雅黑" w:hAnsi="微软雅黑" w:eastAsia="微软雅黑"/>
        </w:rPr>
        <w:t>哈佛商学院案例研究</w:t>
      </w:r>
      <w:r>
        <w:rPr>
          <w:rFonts w:hint="eastAsia" w:ascii="微软雅黑" w:hAnsi="微软雅黑" w:eastAsia="微软雅黑"/>
          <w:bCs/>
        </w:rPr>
        <w:t>为工具</w:t>
      </w:r>
    </w:p>
    <w:p>
      <w:pPr>
        <w:numPr>
          <w:ilvl w:val="0"/>
          <w:numId w:val="1"/>
        </w:num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bCs/>
        </w:rPr>
        <w:t>参与高阶金融投资课程，了解真实金融市场，为</w:t>
      </w:r>
      <w:r>
        <w:rPr>
          <w:rFonts w:hint="eastAsia" w:ascii="微软雅黑" w:hAnsi="微软雅黑" w:eastAsia="微软雅黑"/>
          <w:bCs/>
          <w:lang w:eastAsia="zh-CN"/>
        </w:rPr>
        <w:t>进入</w:t>
      </w:r>
      <w:r>
        <w:rPr>
          <w:rFonts w:hint="eastAsia" w:ascii="微软雅黑" w:hAnsi="微软雅黑" w:eastAsia="微软雅黑"/>
          <w:bCs/>
        </w:rPr>
        <w:t>未来职场</w:t>
      </w:r>
      <w:r>
        <w:rPr>
          <w:rFonts w:hint="eastAsia" w:ascii="微软雅黑" w:hAnsi="微软雅黑" w:eastAsia="微软雅黑"/>
          <w:bCs/>
          <w:lang w:eastAsia="zh-CN"/>
        </w:rPr>
        <w:t>乃至自主</w:t>
      </w:r>
      <w:r>
        <w:rPr>
          <w:rFonts w:hint="eastAsia" w:ascii="微软雅黑" w:hAnsi="微软雅黑" w:eastAsia="微软雅黑"/>
          <w:bCs/>
        </w:rPr>
        <w:t>创业做准备</w:t>
      </w:r>
    </w:p>
    <w:p>
      <w:pPr>
        <w:numPr>
          <w:ilvl w:val="0"/>
          <w:numId w:val="1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Cs/>
        </w:rPr>
        <w:t>接触前沿金融分析工具，了解人工智能和机器学习在商业分析中的应用</w:t>
      </w:r>
    </w:p>
    <w:p>
      <w:pPr>
        <w:numPr>
          <w:ilvl w:val="0"/>
          <w:numId w:val="1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Cs/>
        </w:rPr>
        <w:t>获得教授颁发的结课证书，优秀学生可获得推荐信</w:t>
      </w:r>
    </w:p>
    <w:p>
      <w:pPr>
        <w:numPr>
          <w:ilvl w:val="0"/>
          <w:numId w:val="1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Cs/>
        </w:rPr>
        <w:t>有机会参与寒假期间的线下课程</w:t>
      </w:r>
    </w:p>
    <w:p>
      <w:pPr>
        <w:spacing w:line="360" w:lineRule="auto"/>
        <w:rPr>
          <w:rFonts w:ascii="微软雅黑" w:hAnsi="微软雅黑" w:eastAsia="微软雅黑"/>
        </w:rPr>
      </w:pPr>
    </w:p>
    <w:p>
      <w:pPr>
        <w:spacing w:line="360" w:lineRule="auto"/>
        <w:rPr>
          <w:rFonts w:ascii="微软雅黑" w:hAnsi="微软雅黑" w:eastAsia="微软雅黑"/>
        </w:rPr>
      </w:pP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项目内容</w:t>
      </w:r>
    </w:p>
    <w:p>
      <w:pPr>
        <w:spacing w:line="360" w:lineRule="auto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本课程的目标是在经济学、金融、创新和广泛的全球商业生态系统的基础学科和思想</w:t>
      </w:r>
      <w:r>
        <w:rPr>
          <w:rFonts w:hint="eastAsia" w:ascii="微软雅黑" w:hAnsi="微软雅黑" w:eastAsia="微软雅黑"/>
          <w:lang w:eastAsia="zh-CN"/>
        </w:rPr>
        <w:t>之</w:t>
      </w:r>
      <w:r>
        <w:rPr>
          <w:rFonts w:hint="eastAsia" w:ascii="微软雅黑" w:hAnsi="微软雅黑" w:eastAsia="微软雅黑"/>
        </w:rPr>
        <w:t>上，为学生们打造一个坚实的知识基础。这将使学生们处于一个独特和有价值的地位，在继续大学学习的同时</w:t>
      </w:r>
      <w:r>
        <w:rPr>
          <w:rFonts w:hint="eastAsia" w:ascii="微软雅黑" w:hAnsi="微软雅黑" w:eastAsia="微软雅黑"/>
          <w:lang w:eastAsia="zh-CN"/>
        </w:rPr>
        <w:t>，</w:t>
      </w:r>
      <w:r>
        <w:rPr>
          <w:rFonts w:hint="eastAsia" w:ascii="微软雅黑" w:hAnsi="微软雅黑" w:eastAsia="微软雅黑"/>
        </w:rPr>
        <w:t>为将来开始职业生涯做好准备。</w:t>
      </w:r>
      <w:r>
        <w:rPr>
          <w:rFonts w:hint="eastAsia" w:ascii="微软雅黑" w:hAnsi="微软雅黑" w:eastAsia="微软雅黑"/>
          <w:lang w:eastAsia="zh-CN"/>
        </w:rPr>
        <w:t>本课程</w:t>
      </w:r>
      <w:r>
        <w:rPr>
          <w:rFonts w:hint="eastAsia" w:ascii="微软雅黑" w:hAnsi="微软雅黑" w:eastAsia="微软雅黑"/>
        </w:rPr>
        <w:t>由世界顶级商学院教授授课，并持续帮助学生们完成</w:t>
      </w:r>
      <w:r>
        <w:rPr>
          <w:rFonts w:hint="eastAsia" w:ascii="微软雅黑" w:hAnsi="微软雅黑" w:eastAsia="微软雅黑"/>
          <w:lang w:eastAsia="zh-CN"/>
        </w:rPr>
        <w:t>课程学习</w:t>
      </w:r>
      <w:r>
        <w:rPr>
          <w:rFonts w:hint="eastAsia" w:ascii="微软雅黑" w:hAnsi="微软雅黑" w:eastAsia="微软雅黑"/>
        </w:rPr>
        <w:t>，为未来开始职业生涯乃至创业做准备。</w:t>
      </w:r>
    </w:p>
    <w:p>
      <w:pPr>
        <w:spacing w:line="360" w:lineRule="auto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此外，每个学生在课程结束时都将完成一份由教授评估和协助的</w:t>
      </w:r>
      <w:r>
        <w:rPr>
          <w:rFonts w:hint="eastAsia" w:ascii="微软雅黑" w:hAnsi="微软雅黑" w:eastAsia="微软雅黑"/>
          <w:lang w:eastAsia="zh-CN"/>
        </w:rPr>
        <w:t>投资</w:t>
      </w:r>
      <w:r>
        <w:rPr>
          <w:rFonts w:hint="eastAsia" w:ascii="微软雅黑" w:hAnsi="微软雅黑" w:eastAsia="微软雅黑"/>
        </w:rPr>
        <w:t>推介报告，这将使他们能够以一种新颖的方式与金融市场打交道，同时这一形式的</w:t>
      </w:r>
      <w:r>
        <w:rPr>
          <w:rFonts w:hint="eastAsia" w:ascii="微软雅黑" w:hAnsi="微软雅黑" w:eastAsia="微软雅黑"/>
          <w:lang w:eastAsia="zh-CN"/>
        </w:rPr>
        <w:t>投资</w:t>
      </w:r>
      <w:r>
        <w:rPr>
          <w:rFonts w:hint="eastAsia" w:ascii="微软雅黑" w:hAnsi="微软雅黑" w:eastAsia="微软雅黑"/>
        </w:rPr>
        <w:t>报告也是投行招聘的必备问题之一。这种新颖和个性化的</w:t>
      </w:r>
      <w:r>
        <w:rPr>
          <w:rFonts w:hint="eastAsia" w:ascii="微软雅黑" w:hAnsi="微软雅黑" w:eastAsia="微软雅黑"/>
          <w:lang w:eastAsia="zh-CN"/>
        </w:rPr>
        <w:t>投资</w:t>
      </w:r>
      <w:r>
        <w:rPr>
          <w:rFonts w:hint="eastAsia" w:ascii="微软雅黑" w:hAnsi="微软雅黑" w:eastAsia="微软雅黑"/>
        </w:rPr>
        <w:t>推介</w:t>
      </w:r>
      <w:r>
        <w:rPr>
          <w:rFonts w:hint="eastAsia" w:ascii="微软雅黑" w:hAnsi="微软雅黑" w:eastAsia="微软雅黑"/>
          <w:lang w:eastAsia="zh-CN"/>
        </w:rPr>
        <w:t>方案是</w:t>
      </w:r>
      <w:r>
        <w:rPr>
          <w:rFonts w:hint="eastAsia" w:ascii="微软雅黑" w:hAnsi="微软雅黑" w:eastAsia="微软雅黑"/>
        </w:rPr>
        <w:t>未来投资和初创公司推介的必备基础。</w:t>
      </w:r>
    </w:p>
    <w:p>
      <w:pPr>
        <w:spacing w:line="360" w:lineRule="auto"/>
        <w:rPr>
          <w:rFonts w:ascii="微软雅黑" w:hAnsi="微软雅黑" w:eastAsia="微软雅黑"/>
        </w:rPr>
      </w:pPr>
    </w:p>
    <w:p>
      <w:pPr>
        <w:spacing w:line="360" w:lineRule="auto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课程内容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在每堂课中，学生都需要: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1) 阅读、预习每篇论文的摘要和介绍。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2) 阅读哈佛商学院案例研究的整个案例作业，并为分配的案例问题准备解决方案，做好充分参与课程期间讨论互动的准备。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3) 学生的课程评估将包括以下内容: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a</w:t>
      </w:r>
      <w:r>
        <w:rPr>
          <w:rFonts w:ascii="微软雅黑" w:hAnsi="微软雅黑" w:eastAsia="微软雅黑"/>
        </w:rPr>
        <w:t xml:space="preserve">. </w:t>
      </w:r>
      <w:r>
        <w:rPr>
          <w:rFonts w:hint="eastAsia" w:ascii="微软雅黑" w:hAnsi="微软雅黑" w:eastAsia="微软雅黑"/>
        </w:rPr>
        <w:t>案例分析作业：30%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b. </w:t>
      </w:r>
      <w:r>
        <w:rPr>
          <w:rFonts w:hint="eastAsia" w:ascii="微软雅黑" w:hAnsi="微软雅黑" w:eastAsia="微软雅黑"/>
        </w:rPr>
        <w:t>结课投资方案：70%</w:t>
      </w:r>
    </w:p>
    <w:p>
      <w:pPr>
        <w:spacing w:line="360" w:lineRule="auto"/>
        <w:rPr>
          <w:rFonts w:hint="eastAsia" w:ascii="微软雅黑" w:hAnsi="微软雅黑" w:eastAsia="微软雅黑"/>
        </w:rPr>
      </w:pPr>
    </w:p>
    <w:p>
      <w:pPr>
        <w:spacing w:line="360" w:lineRule="auto"/>
        <w:rPr>
          <w:rFonts w:hint="eastAsia" w:ascii="微软雅黑" w:hAnsi="微软雅黑" w:eastAsia="微软雅黑"/>
        </w:rPr>
      </w:pPr>
    </w:p>
    <w:p>
      <w:pPr>
        <w:spacing w:line="360" w:lineRule="auto"/>
        <w:rPr>
          <w:rFonts w:hint="eastAsia" w:ascii="微软雅黑" w:hAnsi="微软雅黑" w:eastAsia="微软雅黑"/>
        </w:rPr>
      </w:pPr>
    </w:p>
    <w:p>
      <w:pPr>
        <w:spacing w:line="360" w:lineRule="auto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课程大纲</w:t>
      </w:r>
    </w:p>
    <w:tbl>
      <w:tblPr>
        <w:tblStyle w:val="4"/>
        <w:tblW w:w="9147" w:type="dxa"/>
        <w:jc w:val="center"/>
        <w:tblBorders>
          <w:top w:val="single" w:color="FFFFFF" w:themeColor="background1" w:sz="24" w:space="0"/>
          <w:left w:val="single" w:color="FFFFFF" w:themeColor="background1" w:sz="24" w:space="0"/>
          <w:bottom w:val="single" w:color="FFFFFF" w:themeColor="background1" w:sz="24" w:space="0"/>
          <w:right w:val="single" w:color="FFFFFF" w:themeColor="background1" w:sz="24" w:space="0"/>
          <w:insideH w:val="none" w:color="auto" w:sz="0" w:space="0"/>
          <w:insideV w:val="single" w:color="FFFFFF" w:themeColor="background1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7325"/>
      </w:tblGrid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none" w:color="auto" w:sz="0" w:space="0"/>
            <w:insideV w:val="single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22" w:type="dxa"/>
            <w:tcBorders>
              <w:bottom w:val="nil"/>
            </w:tcBorders>
            <w:shd w:val="clear" w:color="auto" w:fill="3F3F3F" w:themeFill="text1" w:themeFillTint="BF"/>
          </w:tcPr>
          <w:p>
            <w:pPr>
              <w:jc w:val="center"/>
              <w:rPr>
                <w:rFonts w:hint="eastAsia" w:eastAsiaTheme="minorEastAsia"/>
                <w:color w:val="FFFFFF" w:themeColor="background1"/>
                <w:sz w:val="28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28"/>
                <w:lang w:eastAsia="zh-CN"/>
                <w14:textFill>
                  <w14:solidFill>
                    <w14:schemeClr w14:val="bg1"/>
                  </w14:solidFill>
                </w14:textFill>
              </w:rPr>
              <w:t>课程编号</w:t>
            </w:r>
          </w:p>
        </w:tc>
        <w:tc>
          <w:tcPr>
            <w:tcW w:w="7325" w:type="dxa"/>
            <w:tcBorders>
              <w:bottom w:val="nil"/>
            </w:tcBorders>
            <w:shd w:val="clear" w:color="auto" w:fill="3F3F3F" w:themeFill="text1" w:themeFillTint="BF"/>
          </w:tcPr>
          <w:p>
            <w:pPr>
              <w:jc w:val="center"/>
              <w:rPr>
                <w:rFonts w:hint="eastAsia" w:eastAsiaTheme="minorEastAsia"/>
                <w:color w:val="FFFFFF" w:themeColor="background1"/>
                <w:sz w:val="28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28"/>
                <w:lang w:eastAsia="zh-CN"/>
                <w14:textFill>
                  <w14:solidFill>
                    <w14:schemeClr w14:val="bg1"/>
                  </w14:solidFill>
                </w14:textFill>
              </w:rPr>
              <w:t>课程内容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none" w:color="auto" w:sz="0" w:space="0"/>
            <w:insideV w:val="single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822" w:type="dxa"/>
            <w:tcBorders>
              <w:top w:val="nil"/>
              <w:bottom w:val="nil"/>
            </w:tcBorders>
            <w:shd w:val="clear" w:color="auto" w:fill="95B3D7" w:themeFill="accent1" w:themeFillTint="99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rFonts w:ascii="微软雅黑" w:hAnsi="微软雅黑" w:eastAsia="微软雅黑"/>
              </w:rPr>
              <w:t>Session I.</w:t>
            </w:r>
          </w:p>
        </w:tc>
        <w:tc>
          <w:tcPr>
            <w:tcW w:w="7325" w:type="dxa"/>
            <w:tcBorders>
              <w:top w:val="nil"/>
              <w:bottom w:val="nil"/>
            </w:tcBorders>
            <w:shd w:val="clear" w:color="auto" w:fill="95B3D7" w:themeFill="accent1" w:themeFillTint="99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Using Behavioral Finance to Dominate the Competition</w:t>
            </w:r>
            <w:r>
              <w:rPr>
                <w:rFonts w:hint="eastAsia" w:ascii="微软雅黑" w:hAnsi="微软雅黑" w:eastAsia="微软雅黑"/>
              </w:rPr>
              <w:t xml:space="preserve"> </w:t>
            </w:r>
          </w:p>
          <w:p>
            <w:pPr>
              <w:spacing w:line="360" w:lineRule="auto"/>
              <w:rPr>
                <w:sz w:val="32"/>
              </w:rPr>
            </w:pPr>
            <w:r>
              <w:rPr>
                <w:rFonts w:hint="eastAsia" w:ascii="微软雅黑" w:hAnsi="微软雅黑" w:eastAsia="微软雅黑"/>
              </w:rPr>
              <w:t>利用行为</w:t>
            </w:r>
            <w:r>
              <w:rPr>
                <w:rFonts w:hint="default" w:ascii="微软雅黑" w:hAnsi="微软雅黑" w:eastAsia="微软雅黑"/>
              </w:rPr>
              <w:t>金融</w:t>
            </w:r>
            <w:r>
              <w:rPr>
                <w:rFonts w:hint="eastAsia" w:ascii="微软雅黑" w:hAnsi="微软雅黑" w:eastAsia="微软雅黑"/>
              </w:rPr>
              <w:t>学主导竞争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none" w:color="auto" w:sz="0" w:space="0"/>
            <w:insideV w:val="single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822" w:type="dxa"/>
            <w:tcBorders>
              <w:top w:val="nil"/>
              <w:bottom w:val="nil"/>
            </w:tcBorders>
            <w:shd w:val="clear" w:color="auto" w:fill="BAE6F0"/>
          </w:tcPr>
          <w:p>
            <w:pPr>
              <w:jc w:val="center"/>
              <w:rPr>
                <w:sz w:val="32"/>
              </w:rPr>
            </w:pPr>
            <w:r>
              <w:rPr>
                <w:rFonts w:ascii="微软雅黑" w:hAnsi="微软雅黑" w:eastAsia="微软雅黑"/>
              </w:rPr>
              <w:t>Session II.</w:t>
            </w:r>
          </w:p>
        </w:tc>
        <w:tc>
          <w:tcPr>
            <w:tcW w:w="7325" w:type="dxa"/>
            <w:tcBorders>
              <w:top w:val="nil"/>
              <w:bottom w:val="nil"/>
            </w:tcBorders>
            <w:shd w:val="clear" w:color="auto" w:fill="BAE6F0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Fundamental Valuation and Understanding Stock Valuation</w:t>
            </w:r>
          </w:p>
          <w:p>
            <w:pPr>
              <w:spacing w:line="360" w:lineRule="auto"/>
              <w:rPr>
                <w:sz w:val="32"/>
              </w:rPr>
            </w:pPr>
            <w:r>
              <w:rPr>
                <w:rFonts w:hint="eastAsia" w:ascii="微软雅黑" w:hAnsi="微软雅黑" w:eastAsia="微软雅黑"/>
              </w:rPr>
              <w:t>基本估值和理解股票估值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none" w:color="auto" w:sz="0" w:space="0"/>
            <w:insideV w:val="single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22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>
            <w:pPr>
              <w:jc w:val="center"/>
              <w:rPr>
                <w:sz w:val="32"/>
              </w:rPr>
            </w:pPr>
            <w:r>
              <w:rPr>
                <w:rFonts w:ascii="微软雅黑" w:hAnsi="微软雅黑" w:eastAsia="微软雅黑"/>
              </w:rPr>
              <w:t xml:space="preserve">Session III. </w:t>
            </w:r>
          </w:p>
        </w:tc>
        <w:tc>
          <w:tcPr>
            <w:tcW w:w="7325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The Performance of Active Management</w:t>
            </w:r>
          </w:p>
          <w:p>
            <w:pPr>
              <w:spacing w:line="360" w:lineRule="auto"/>
              <w:rPr>
                <w:sz w:val="32"/>
              </w:rPr>
            </w:pPr>
            <w:r>
              <w:rPr>
                <w:rFonts w:hint="eastAsia" w:ascii="微软雅黑" w:hAnsi="微软雅黑" w:eastAsia="微软雅黑"/>
              </w:rPr>
              <w:t>实施积极管理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none" w:color="auto" w:sz="0" w:space="0"/>
            <w:insideV w:val="single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22" w:type="dxa"/>
            <w:tcBorders>
              <w:top w:val="nil"/>
              <w:bottom w:val="nil"/>
            </w:tcBorders>
            <w:shd w:val="clear" w:color="auto" w:fill="BAE6F0"/>
          </w:tcPr>
          <w:p>
            <w:pPr>
              <w:jc w:val="center"/>
              <w:rPr>
                <w:sz w:val="32"/>
              </w:rPr>
            </w:pPr>
            <w:r>
              <w:rPr>
                <w:rFonts w:ascii="微软雅黑" w:hAnsi="微软雅黑" w:eastAsia="微软雅黑"/>
              </w:rPr>
              <w:t xml:space="preserve">Session IV. </w:t>
            </w:r>
          </w:p>
        </w:tc>
        <w:tc>
          <w:tcPr>
            <w:tcW w:w="7325" w:type="dxa"/>
            <w:tcBorders>
              <w:top w:val="nil"/>
              <w:bottom w:val="nil"/>
            </w:tcBorders>
            <w:shd w:val="clear" w:color="auto" w:fill="BAE6F0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Introduction to the Sources of Alpha</w:t>
            </w:r>
          </w:p>
          <w:p>
            <w:pPr>
              <w:spacing w:line="360" w:lineRule="auto"/>
              <w:rPr>
                <w:sz w:val="32"/>
              </w:rPr>
            </w:pPr>
            <w:r>
              <w:rPr>
                <w:rFonts w:hint="eastAsia" w:ascii="微软雅黑" w:hAnsi="微软雅黑" w:eastAsia="微软雅黑"/>
              </w:rPr>
              <w:t>超额收益的来源</w:t>
            </w:r>
            <w:r>
              <w:rPr>
                <w:rFonts w:hint="eastAsia" w:ascii="微软雅黑" w:hAnsi="微软雅黑" w:eastAsia="微软雅黑"/>
                <w:lang w:eastAsia="zh-CN"/>
              </w:rPr>
              <w:t>介绍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none" w:color="auto" w:sz="0" w:space="0"/>
            <w:insideV w:val="single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22" w:type="dxa"/>
            <w:tcBorders>
              <w:top w:val="nil"/>
              <w:bottom w:val="nil"/>
            </w:tcBorders>
            <w:shd w:val="clear" w:color="auto" w:fill="95B3D7" w:themeFill="accent1" w:themeFillTint="99"/>
            <w:vAlign w:val="top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 xml:space="preserve">Session V. </w:t>
            </w:r>
          </w:p>
        </w:tc>
        <w:tc>
          <w:tcPr>
            <w:tcW w:w="7325" w:type="dxa"/>
            <w:tcBorders>
              <w:top w:val="nil"/>
              <w:bottom w:val="nil"/>
            </w:tcBorders>
            <w:shd w:val="clear" w:color="auto" w:fill="95B3D7" w:themeFill="accent1" w:themeFillTint="99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Online Meeting Session 1</w:t>
            </w:r>
          </w:p>
          <w:p>
            <w:pPr>
              <w:spacing w:line="360" w:lineRule="auto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在线会议1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none" w:color="auto" w:sz="0" w:space="0"/>
            <w:insideV w:val="single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22" w:type="dxa"/>
            <w:tcBorders>
              <w:top w:val="nil"/>
              <w:bottom w:val="nil"/>
            </w:tcBorders>
            <w:shd w:val="clear" w:color="auto" w:fill="BAE6F0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Session VI.</w:t>
            </w:r>
          </w:p>
        </w:tc>
        <w:tc>
          <w:tcPr>
            <w:tcW w:w="7325" w:type="dxa"/>
            <w:tcBorders>
              <w:top w:val="nil"/>
              <w:bottom w:val="nil"/>
            </w:tcBorders>
            <w:shd w:val="clear" w:color="auto" w:fill="BAE6F0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Sophisticated Alpha Strategies</w:t>
            </w:r>
          </w:p>
          <w:p>
            <w:pPr>
              <w:spacing w:line="360" w:lineRule="auto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高水平超额收益策略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none" w:color="auto" w:sz="0" w:space="0"/>
            <w:insideV w:val="single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22" w:type="dxa"/>
            <w:tcBorders>
              <w:top w:val="nil"/>
              <w:bottom w:val="nil"/>
            </w:tcBorders>
            <w:shd w:val="clear" w:color="auto" w:fill="95B3D7" w:themeFill="accent1" w:themeFillTint="99"/>
            <w:vAlign w:val="top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Session VII.</w:t>
            </w:r>
          </w:p>
        </w:tc>
        <w:tc>
          <w:tcPr>
            <w:tcW w:w="7325" w:type="dxa"/>
            <w:tcBorders>
              <w:top w:val="nil"/>
              <w:bottom w:val="nil"/>
            </w:tcBorders>
            <w:shd w:val="clear" w:color="auto" w:fill="95B3D7" w:themeFill="accent1" w:themeFillTint="99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From Idea to Stock Pitch</w:t>
            </w:r>
          </w:p>
          <w:p>
            <w:pPr>
              <w:spacing w:line="360" w:lineRule="auto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从想法到</w:t>
            </w:r>
            <w:r>
              <w:rPr>
                <w:rFonts w:hint="eastAsia" w:ascii="微软雅黑" w:hAnsi="微软雅黑" w:eastAsia="微软雅黑"/>
                <w:lang w:eastAsia="zh-CN"/>
              </w:rPr>
              <w:t>投资</w:t>
            </w:r>
            <w:r>
              <w:rPr>
                <w:rFonts w:hint="eastAsia" w:ascii="微软雅黑" w:hAnsi="微软雅黑" w:eastAsia="微软雅黑"/>
              </w:rPr>
              <w:t>推介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none" w:color="auto" w:sz="0" w:space="0"/>
            <w:insideV w:val="single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22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top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 xml:space="preserve">Session VIII. </w:t>
            </w:r>
          </w:p>
        </w:tc>
        <w:tc>
          <w:tcPr>
            <w:tcW w:w="7325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Understanding Innovation and Threats to Innovation</w:t>
            </w:r>
          </w:p>
          <w:p>
            <w:pPr>
              <w:spacing w:line="360" w:lineRule="auto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理解金融创新及创新面临的威胁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none" w:color="auto" w:sz="0" w:space="0"/>
            <w:insideV w:val="single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22" w:type="dxa"/>
            <w:tcBorders>
              <w:top w:val="nil"/>
              <w:bottom w:val="nil"/>
            </w:tcBorders>
            <w:shd w:val="clear" w:color="auto" w:fill="95B3D7" w:themeFill="accent1" w:themeFillTint="99"/>
            <w:vAlign w:val="top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 xml:space="preserve">Session IX. </w:t>
            </w:r>
          </w:p>
        </w:tc>
        <w:tc>
          <w:tcPr>
            <w:tcW w:w="7325" w:type="dxa"/>
            <w:tcBorders>
              <w:top w:val="nil"/>
              <w:bottom w:val="nil"/>
            </w:tcBorders>
            <w:shd w:val="clear" w:color="auto" w:fill="95B3D7" w:themeFill="accent1" w:themeFillTint="99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Cutting Edge Textual Analysis to Generate Returns</w:t>
            </w:r>
          </w:p>
          <w:p>
            <w:pPr>
              <w:spacing w:line="360" w:lineRule="auto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收益产生的前沿文本分析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none" w:color="auto" w:sz="0" w:space="0"/>
            <w:insideV w:val="single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22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top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 xml:space="preserve">Session X. </w:t>
            </w:r>
          </w:p>
        </w:tc>
        <w:tc>
          <w:tcPr>
            <w:tcW w:w="7325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Online Meeting Session 2</w:t>
            </w:r>
          </w:p>
          <w:p>
            <w:pPr>
              <w:spacing w:line="360" w:lineRule="auto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在线会议2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none" w:color="auto" w:sz="0" w:space="0"/>
            <w:insideV w:val="single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22" w:type="dxa"/>
            <w:tcBorders>
              <w:top w:val="nil"/>
              <w:bottom w:val="nil"/>
            </w:tcBorders>
            <w:shd w:val="clear" w:color="auto" w:fill="95B3D7" w:themeFill="accent1" w:themeFillTint="99"/>
            <w:vAlign w:val="top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Session XI.</w:t>
            </w:r>
            <w:r>
              <w:rPr>
                <w:rFonts w:hint="eastAsia" w:ascii="微软雅黑" w:hAnsi="微软雅黑" w:eastAsia="微软雅黑"/>
              </w:rPr>
              <w:t xml:space="preserve"> </w:t>
            </w:r>
          </w:p>
        </w:tc>
        <w:tc>
          <w:tcPr>
            <w:tcW w:w="7325" w:type="dxa"/>
            <w:tcBorders>
              <w:top w:val="nil"/>
              <w:bottom w:val="nil"/>
            </w:tcBorders>
            <w:shd w:val="clear" w:color="auto" w:fill="95B3D7" w:themeFill="accent1" w:themeFillTint="99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Understanding How Entire Asset Classes are Related and Combined in a Portfolio</w:t>
            </w:r>
          </w:p>
          <w:p>
            <w:pPr>
              <w:spacing w:line="360" w:lineRule="auto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了解整个资产类别在投资组合中如何关联和组合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none" w:color="auto" w:sz="0" w:space="0"/>
            <w:insideV w:val="single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22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top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 xml:space="preserve">Session XII. </w:t>
            </w:r>
          </w:p>
        </w:tc>
        <w:tc>
          <w:tcPr>
            <w:tcW w:w="7325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Where Does True Information get Signaled First in Markets?</w:t>
            </w:r>
          </w:p>
          <w:p>
            <w:pPr>
              <w:spacing w:line="360" w:lineRule="auto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在市场中如何</w:t>
            </w:r>
            <w:r>
              <w:rPr>
                <w:rFonts w:hint="eastAsia" w:ascii="微软雅黑" w:hAnsi="微软雅黑" w:eastAsia="微软雅黑"/>
                <w:lang w:eastAsia="zh-CN"/>
              </w:rPr>
              <w:t>率先</w:t>
            </w:r>
            <w:r>
              <w:rPr>
                <w:rFonts w:hint="eastAsia" w:ascii="微软雅黑" w:hAnsi="微软雅黑" w:eastAsia="微软雅黑"/>
              </w:rPr>
              <w:t>得到真正信息?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none" w:color="auto" w:sz="0" w:space="0"/>
            <w:insideV w:val="single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22" w:type="dxa"/>
            <w:tcBorders>
              <w:top w:val="nil"/>
              <w:bottom w:val="nil"/>
            </w:tcBorders>
            <w:shd w:val="clear" w:color="auto" w:fill="95B3D7" w:themeFill="accent1" w:themeFillTint="99"/>
            <w:vAlign w:val="top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 xml:space="preserve">Session XIII. </w:t>
            </w:r>
          </w:p>
        </w:tc>
        <w:tc>
          <w:tcPr>
            <w:tcW w:w="7325" w:type="dxa"/>
            <w:tcBorders>
              <w:top w:val="nil"/>
              <w:bottom w:val="nil"/>
            </w:tcBorders>
            <w:shd w:val="clear" w:color="auto" w:fill="95B3D7" w:themeFill="accent1" w:themeFillTint="99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Solving the Evolving Data Deluge Game</w:t>
            </w:r>
          </w:p>
          <w:p>
            <w:pPr>
              <w:spacing w:line="360" w:lineRule="auto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解决不断变化的海量数据游戏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none" w:color="auto" w:sz="0" w:space="0"/>
            <w:insideV w:val="single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22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top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Session XIV.</w:t>
            </w:r>
          </w:p>
        </w:tc>
        <w:tc>
          <w:tcPr>
            <w:tcW w:w="7325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 xml:space="preserve"> </w:t>
            </w:r>
            <w:r>
              <w:rPr>
                <w:rFonts w:ascii="微软雅黑" w:hAnsi="微软雅黑" w:eastAsia="微软雅黑"/>
              </w:rPr>
              <w:t>The Promise and Pitfalls of AI and ML</w:t>
            </w:r>
          </w:p>
          <w:p>
            <w:pPr>
              <w:spacing w:line="360" w:lineRule="auto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人工智能和机器学习的前景和陷阱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none" w:color="auto" w:sz="0" w:space="0"/>
            <w:insideV w:val="single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22" w:type="dxa"/>
            <w:tcBorders>
              <w:top w:val="nil"/>
              <w:bottom w:val="nil"/>
            </w:tcBorders>
            <w:shd w:val="clear" w:color="auto" w:fill="95B3D7" w:themeFill="accent1" w:themeFillTint="99"/>
            <w:vAlign w:val="top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Session XV.</w:t>
            </w:r>
            <w:r>
              <w:rPr>
                <w:rFonts w:hint="eastAsia" w:ascii="微软雅黑" w:hAnsi="微软雅黑" w:eastAsia="微软雅黑"/>
              </w:rPr>
              <w:t xml:space="preserve"> </w:t>
            </w:r>
          </w:p>
        </w:tc>
        <w:tc>
          <w:tcPr>
            <w:tcW w:w="7325" w:type="dxa"/>
            <w:tcBorders>
              <w:top w:val="nil"/>
              <w:bottom w:val="nil"/>
            </w:tcBorders>
            <w:shd w:val="clear" w:color="auto" w:fill="95B3D7" w:themeFill="accent1" w:themeFillTint="99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Online Meeting Session 3</w:t>
            </w:r>
          </w:p>
          <w:p>
            <w:pPr>
              <w:spacing w:line="360" w:lineRule="auto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在线会议3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none" w:color="auto" w:sz="0" w:space="0"/>
            <w:insideV w:val="single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22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top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Session XVI.</w:t>
            </w:r>
            <w:r>
              <w:rPr>
                <w:rFonts w:hint="eastAsia" w:ascii="微软雅黑" w:hAnsi="微软雅黑" w:eastAsia="微软雅黑"/>
              </w:rPr>
              <w:t xml:space="preserve"> </w:t>
            </w:r>
          </w:p>
        </w:tc>
        <w:tc>
          <w:tcPr>
            <w:tcW w:w="7325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Final Presentations of Investment Pitches Due</w:t>
            </w:r>
          </w:p>
          <w:p>
            <w:pPr>
              <w:spacing w:line="360" w:lineRule="auto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最终投资推介方案展示截止</w:t>
            </w:r>
          </w:p>
        </w:tc>
      </w:tr>
    </w:tbl>
    <w:p>
      <w:pPr>
        <w:spacing w:line="360" w:lineRule="auto"/>
        <w:rPr>
          <w:rFonts w:hint="eastAsia" w:ascii="微软雅黑" w:hAnsi="微软雅黑" w:eastAsia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*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最终课程以实际课程为准</w:t>
      </w:r>
    </w:p>
    <w:p>
      <w:pPr>
        <w:spacing w:line="360" w:lineRule="auto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适合学生人群</w:t>
      </w:r>
    </w:p>
    <w:p>
      <w:pPr>
        <w:spacing w:line="360" w:lineRule="auto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聪明、有</w:t>
      </w:r>
      <w:r>
        <w:rPr>
          <w:rFonts w:hint="eastAsia" w:ascii="微软雅黑" w:hAnsi="微软雅黑" w:eastAsia="微软雅黑"/>
          <w:lang w:eastAsia="zh-CN"/>
        </w:rPr>
        <w:t>学习</w:t>
      </w:r>
      <w:r>
        <w:rPr>
          <w:rFonts w:hint="eastAsia" w:ascii="微软雅黑" w:hAnsi="微软雅黑" w:eastAsia="微软雅黑"/>
        </w:rPr>
        <w:t>动力、能自我激励的学生，有兴趣追求在金融领域的职业生涯或</w:t>
      </w:r>
      <w:r>
        <w:rPr>
          <w:rFonts w:hint="eastAsia" w:ascii="微软雅黑" w:hAnsi="微软雅黑" w:eastAsia="微软雅黑"/>
          <w:lang w:eastAsia="zh-CN"/>
        </w:rPr>
        <w:t>自主</w:t>
      </w:r>
      <w:r>
        <w:rPr>
          <w:rFonts w:hint="eastAsia" w:ascii="微软雅黑" w:hAnsi="微软雅黑" w:eastAsia="微软雅黑"/>
        </w:rPr>
        <w:t>创业。这是一门高阶课程，期望学生的高度参与和投入，对那些投入这门课程、教材和期末项目的学生</w:t>
      </w:r>
      <w:r>
        <w:rPr>
          <w:rFonts w:hint="eastAsia" w:ascii="微软雅黑" w:hAnsi="微软雅黑" w:eastAsia="微软雅黑"/>
          <w:lang w:eastAsia="zh-CN"/>
        </w:rPr>
        <w:t>会</w:t>
      </w:r>
      <w:r>
        <w:rPr>
          <w:rFonts w:hint="eastAsia" w:ascii="微软雅黑" w:hAnsi="微软雅黑" w:eastAsia="微软雅黑"/>
        </w:rPr>
        <w:t>有很大的回报。</w:t>
      </w:r>
    </w:p>
    <w:p>
      <w:pPr>
        <w:spacing w:line="360" w:lineRule="auto"/>
        <w:rPr>
          <w:rFonts w:ascii="微软雅黑" w:hAnsi="微软雅黑" w:eastAsia="微软雅黑"/>
        </w:rPr>
      </w:pP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经济管理学院/商学院/经济学院/金融学院等高年级（大二及以上）本科生、研究生</w:t>
      </w:r>
      <w:r>
        <w:rPr>
          <w:rFonts w:hint="eastAsia" w:ascii="微软雅黑" w:hAnsi="微软雅黑" w:eastAsia="微软雅黑"/>
          <w:lang w:eastAsia="zh-CN"/>
        </w:rPr>
        <w:t>、</w:t>
      </w:r>
      <w:r>
        <w:rPr>
          <w:rFonts w:hint="eastAsia" w:ascii="微软雅黑" w:hAnsi="微软雅黑" w:eastAsia="微软雅黑"/>
          <w:lang w:val="en-US" w:eastAsia="zh-CN"/>
        </w:rPr>
        <w:t>MBA学生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有意提高自身商科相关知识水平和商业案例分析能力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有意开拓视野、跳出自身舒适圈，得到商业专家的带领和指导</w:t>
      </w:r>
    </w:p>
    <w:p>
      <w:pPr>
        <w:numPr>
          <w:ilvl w:val="0"/>
          <w:numId w:val="2"/>
        </w:num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有留学深造打算，提前体验适应海外名校互动课程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想了解真实商业社会，为未来进入职场乃至自主创业做准备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拥有良好的英语语言能力</w:t>
      </w:r>
    </w:p>
    <w:p>
      <w:pPr>
        <w:spacing w:line="360" w:lineRule="auto"/>
        <w:rPr>
          <w:rFonts w:ascii="微软雅黑" w:hAnsi="微软雅黑" w:eastAsia="微软雅黑"/>
        </w:rPr>
      </w:pP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项目时间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课程时间：2020年7月20日——8月7日（共三周，</w:t>
      </w:r>
      <w:r>
        <w:rPr>
          <w:rFonts w:hint="eastAsia" w:ascii="微软雅黑" w:hAnsi="微软雅黑" w:eastAsia="微软雅黑"/>
          <w:lang w:val="en-US" w:eastAsia="zh-CN"/>
        </w:rPr>
        <w:t>36小时</w:t>
      </w:r>
      <w:r>
        <w:rPr>
          <w:rFonts w:hint="eastAsia" w:ascii="微软雅黑" w:hAnsi="微软雅黑" w:eastAsia="微软雅黑"/>
        </w:rPr>
        <w:t>）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授课形式：线上课程知识教学和小组实操指导</w:t>
      </w:r>
    </w:p>
    <w:p>
      <w:pPr>
        <w:spacing w:line="360" w:lineRule="auto"/>
        <w:rPr>
          <w:rFonts w:ascii="微软雅黑" w:hAnsi="微软雅黑" w:eastAsia="微软雅黑"/>
        </w:rPr>
      </w:pP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申请截止时间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7月6日</w:t>
      </w:r>
      <w:r>
        <w:rPr>
          <w:rFonts w:hint="eastAsia" w:ascii="微软雅黑" w:hAnsi="微软雅黑" w:eastAsia="微软雅黑"/>
        </w:rPr>
        <w:t>（</w:t>
      </w:r>
      <w:bookmarkStart w:id="0" w:name="_GoBack"/>
      <w:bookmarkEnd w:id="0"/>
      <w:r>
        <w:rPr>
          <w:rFonts w:hint="eastAsia" w:ascii="微软雅黑" w:hAnsi="微软雅黑" w:eastAsia="微软雅黑"/>
        </w:rPr>
        <w:t>名额有限，招满即止）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 </w:t>
      </w:r>
    </w:p>
    <w:p>
      <w:pPr>
        <w:spacing w:line="360" w:lineRule="auto"/>
        <w:rPr>
          <w:rFonts w:ascii="微软雅黑" w:hAnsi="微软雅黑" w:eastAsia="微软雅黑"/>
        </w:rPr>
      </w:pPr>
    </w:p>
    <w:sectPr>
      <w:type w:val="continuous"/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362D"/>
    <w:multiLevelType w:val="multilevel"/>
    <w:tmpl w:val="2BC1362D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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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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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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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712D0C50"/>
    <w:multiLevelType w:val="multilevel"/>
    <w:tmpl w:val="712D0C50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58"/>
    <w:rsid w:val="00001C60"/>
    <w:rsid w:val="000138F7"/>
    <w:rsid w:val="0005508D"/>
    <w:rsid w:val="000D0FFD"/>
    <w:rsid w:val="000E097F"/>
    <w:rsid w:val="0010197E"/>
    <w:rsid w:val="00294D28"/>
    <w:rsid w:val="003428B0"/>
    <w:rsid w:val="00373EFC"/>
    <w:rsid w:val="003760F7"/>
    <w:rsid w:val="003C102C"/>
    <w:rsid w:val="00412411"/>
    <w:rsid w:val="004A1566"/>
    <w:rsid w:val="004B5508"/>
    <w:rsid w:val="00502A54"/>
    <w:rsid w:val="005409BD"/>
    <w:rsid w:val="00566869"/>
    <w:rsid w:val="005702CB"/>
    <w:rsid w:val="00580D6F"/>
    <w:rsid w:val="00585E58"/>
    <w:rsid w:val="005B3BD6"/>
    <w:rsid w:val="005E467C"/>
    <w:rsid w:val="005E5E0C"/>
    <w:rsid w:val="005E5E20"/>
    <w:rsid w:val="00621E7B"/>
    <w:rsid w:val="007613AC"/>
    <w:rsid w:val="007872E8"/>
    <w:rsid w:val="007943A0"/>
    <w:rsid w:val="00830034"/>
    <w:rsid w:val="008E1BC1"/>
    <w:rsid w:val="009760C6"/>
    <w:rsid w:val="00976AEC"/>
    <w:rsid w:val="009C7E41"/>
    <w:rsid w:val="00A26B90"/>
    <w:rsid w:val="00A406E9"/>
    <w:rsid w:val="00B10589"/>
    <w:rsid w:val="00B94FAB"/>
    <w:rsid w:val="00BA44FD"/>
    <w:rsid w:val="00BC5FBF"/>
    <w:rsid w:val="00BE28DB"/>
    <w:rsid w:val="00C07EA2"/>
    <w:rsid w:val="00D2437F"/>
    <w:rsid w:val="00D829A0"/>
    <w:rsid w:val="00DD41D5"/>
    <w:rsid w:val="00DF1C63"/>
    <w:rsid w:val="00E02074"/>
    <w:rsid w:val="00E158C2"/>
    <w:rsid w:val="00E57B05"/>
    <w:rsid w:val="00EF1E5C"/>
    <w:rsid w:val="00F10317"/>
    <w:rsid w:val="00F2007C"/>
    <w:rsid w:val="04973A4F"/>
    <w:rsid w:val="04C2788A"/>
    <w:rsid w:val="053868B7"/>
    <w:rsid w:val="0965465F"/>
    <w:rsid w:val="0AF850E4"/>
    <w:rsid w:val="115B602E"/>
    <w:rsid w:val="128B1759"/>
    <w:rsid w:val="12A41A77"/>
    <w:rsid w:val="14D2724B"/>
    <w:rsid w:val="1557551F"/>
    <w:rsid w:val="186B212C"/>
    <w:rsid w:val="19154B82"/>
    <w:rsid w:val="19CF6605"/>
    <w:rsid w:val="1A916B6C"/>
    <w:rsid w:val="1D0D1FD4"/>
    <w:rsid w:val="1D915098"/>
    <w:rsid w:val="1FBA65F5"/>
    <w:rsid w:val="25896952"/>
    <w:rsid w:val="261E41BF"/>
    <w:rsid w:val="2C32240E"/>
    <w:rsid w:val="2C642A06"/>
    <w:rsid w:val="2C9F5006"/>
    <w:rsid w:val="2E825632"/>
    <w:rsid w:val="2F12475C"/>
    <w:rsid w:val="2FCC496D"/>
    <w:rsid w:val="31D33D63"/>
    <w:rsid w:val="32CE54B5"/>
    <w:rsid w:val="33646BC6"/>
    <w:rsid w:val="337D02AE"/>
    <w:rsid w:val="37F0692C"/>
    <w:rsid w:val="39CF6057"/>
    <w:rsid w:val="39DF346C"/>
    <w:rsid w:val="3EE36490"/>
    <w:rsid w:val="3F164293"/>
    <w:rsid w:val="3F3B689C"/>
    <w:rsid w:val="405A4E64"/>
    <w:rsid w:val="40BD73E2"/>
    <w:rsid w:val="417076CA"/>
    <w:rsid w:val="43885BC6"/>
    <w:rsid w:val="44365CE9"/>
    <w:rsid w:val="4AE029D0"/>
    <w:rsid w:val="4BCF4B3E"/>
    <w:rsid w:val="4CE14363"/>
    <w:rsid w:val="4E951064"/>
    <w:rsid w:val="53F731CA"/>
    <w:rsid w:val="564C10A3"/>
    <w:rsid w:val="57C65224"/>
    <w:rsid w:val="59EE01A4"/>
    <w:rsid w:val="5AED3A04"/>
    <w:rsid w:val="5B130B01"/>
    <w:rsid w:val="5C957F75"/>
    <w:rsid w:val="5DE34ACF"/>
    <w:rsid w:val="5E31021C"/>
    <w:rsid w:val="5F592561"/>
    <w:rsid w:val="5F8C252A"/>
    <w:rsid w:val="619B2BA5"/>
    <w:rsid w:val="61A768E8"/>
    <w:rsid w:val="629C7DC0"/>
    <w:rsid w:val="631F7753"/>
    <w:rsid w:val="66CC54EE"/>
    <w:rsid w:val="683479B8"/>
    <w:rsid w:val="6A004AC7"/>
    <w:rsid w:val="6CA072F7"/>
    <w:rsid w:val="730B6DEA"/>
    <w:rsid w:val="73577E87"/>
    <w:rsid w:val="75482C5F"/>
    <w:rsid w:val="75A631DB"/>
    <w:rsid w:val="75C23BE9"/>
    <w:rsid w:val="77A66647"/>
    <w:rsid w:val="77B07A8F"/>
    <w:rsid w:val="FB03B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rFonts w:ascii="Heiti SC Light" w:eastAsia="Heiti SC Light"/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字符"/>
    <w:basedOn w:val="5"/>
    <w:link w:val="2"/>
    <w:semiHidden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443</Words>
  <Characters>2527</Characters>
  <Lines>21</Lines>
  <Paragraphs>5</Paragraphs>
  <TotalTime>4</TotalTime>
  <ScaleCrop>false</ScaleCrop>
  <LinksUpToDate>false</LinksUpToDate>
  <CharactersWithSpaces>2965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2020-04-19T12:47:00Z</dcterms:created>
  <dc:creator>1</dc:creator>
  <cp:lastModifiedBy>Administrator</cp:lastModifiedBy>
  <dcterms:modified xsi:type="dcterms:W3CDTF">2020-05-12T05:06:23Z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